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0E" w:rsidRPr="004D390E" w:rsidRDefault="004D390E" w:rsidP="006220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80"/>
          <w:sz w:val="27"/>
          <w:szCs w:val="27"/>
          <w:lang w:eastAsia="it-IT"/>
        </w:rPr>
        <w:t>Michele Stanco</w:t>
      </w:r>
    </w:p>
    <w:p w:rsidR="004D390E" w:rsidRPr="004D390E" w:rsidRDefault="004D390E" w:rsidP="006220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90E">
        <w:rPr>
          <w:rFonts w:ascii="Garamond" w:eastAsia="Times New Roman" w:hAnsi="Garamond" w:cs="Times New Roman"/>
          <w:color w:val="CC0000"/>
          <w:sz w:val="27"/>
          <w:szCs w:val="27"/>
          <w:lang w:eastAsia="it-IT"/>
        </w:rPr>
        <w:t>Bibliografia</w:t>
      </w:r>
      <w:r w:rsidRPr="004D390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</w:p>
    <w:p w:rsidR="004D390E" w:rsidRPr="004D390E" w:rsidRDefault="004D390E" w:rsidP="006220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90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.75pt" o:hralign="center" o:hrstd="t" o:hrnoshade="t" o:hr="t" fillcolor="#36c" stroked="f"/>
        </w:pict>
      </w:r>
    </w:p>
    <w:p w:rsidR="004D390E" w:rsidRDefault="004D390E" w:rsidP="006220DE">
      <w:p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</w:pPr>
      <w:bookmarkStart w:id="0" w:name="_GoBack"/>
      <w:bookmarkEnd w:id="0"/>
    </w:p>
    <w:p w:rsidR="004D390E" w:rsidRDefault="004D390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</w:pPr>
    </w:p>
    <w:p w:rsidR="004D390E" w:rsidRDefault="004D390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</w:pPr>
    </w:p>
    <w:p w:rsidR="00285C2E" w:rsidRPr="00285C2E" w:rsidRDefault="00285C2E" w:rsidP="006220DE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5C2E"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  <w:t>1. Monografie</w:t>
      </w:r>
    </w:p>
    <w:p w:rsidR="00285C2E" w:rsidRPr="00285C2E" w:rsidRDefault="00285C2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1. </w:t>
      </w:r>
      <w:r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Il caos ordinato. Tensioni etiche e giustizia poetica in Shakespeare</w:t>
      </w:r>
      <w:r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Roma, Carocci, 2009 (rist. 2011), pp. 192 (ISBN 978-88-430-4981-3).</w:t>
      </w:r>
    </w:p>
    <w:p w:rsidR="00285C2E" w:rsidRPr="00285C2E" w:rsidRDefault="00285C2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2.</w:t>
      </w:r>
      <w:r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Rinascimento inglese. Lessico della cultura e tecnologie della comunicazione</w:t>
      </w:r>
      <w:r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Napoli, Liguori, 2013 (ISBN 9788820763947).</w:t>
      </w:r>
    </w:p>
    <w:p w:rsidR="00285C2E" w:rsidRPr="00285C2E" w:rsidRDefault="00285C2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</w:p>
    <w:p w:rsidR="00285C2E" w:rsidRPr="00285C2E" w:rsidRDefault="00285C2E" w:rsidP="006220DE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5C2E"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  <w:t>2. Edizioni di volumi miscellanei</w:t>
      </w:r>
    </w:p>
    <w:p w:rsidR="006469BE" w:rsidRDefault="00285C2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1. John Roe e Michele Stanco (eds</w:t>
      </w:r>
      <w:r w:rsidR="006469BE">
        <w:rPr>
          <w:rFonts w:ascii="Garamond" w:eastAsia="Times New Roman" w:hAnsi="Garamond" w:cs="Times New Roman"/>
          <w:sz w:val="24"/>
          <w:szCs w:val="24"/>
          <w:lang w:val="en-US" w:eastAsia="it-IT"/>
        </w:rPr>
        <w:t>.</w:t>
      </w:r>
      <w:r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), </w:t>
      </w:r>
      <w:r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Inspiration and Technique. Ancient to Modern Views on Beauty and Art</w:t>
      </w:r>
      <w:r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Oxford-Bern, Peter Lang, 2007, pp. 360 (ISBN 978-3-03910-314-0).</w:t>
      </w:r>
    </w:p>
    <w:p w:rsidR="006469BE" w:rsidRDefault="006469BE" w:rsidP="006220DE">
      <w:pPr>
        <w:autoSpaceDE w:val="0"/>
        <w:autoSpaceDN w:val="0"/>
        <w:adjustRightInd w:val="0"/>
        <w:spacing w:after="120" w:line="240" w:lineRule="auto"/>
        <w:ind w:firstLine="397"/>
        <w:jc w:val="both"/>
        <w:rPr>
          <w:rFonts w:ascii="Garamond" w:hAnsi="Garamond"/>
          <w:sz w:val="24"/>
          <w:szCs w:val="24"/>
        </w:rPr>
      </w:pPr>
      <w:r w:rsidRPr="006469B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2. Michele Stanco (a cura di), </w:t>
      </w:r>
      <w:r w:rsidR="00450768">
        <w:rPr>
          <w:rFonts w:ascii="Garamond" w:hAnsi="Garamond"/>
          <w:i/>
          <w:sz w:val="24"/>
          <w:szCs w:val="24"/>
        </w:rPr>
        <w:t>La letteratura inglese dall’</w:t>
      </w:r>
      <w:r w:rsidRPr="006469BE">
        <w:rPr>
          <w:rFonts w:ascii="Garamond" w:hAnsi="Garamond"/>
          <w:i/>
          <w:sz w:val="24"/>
          <w:szCs w:val="24"/>
        </w:rPr>
        <w:t>Umanesimo al Rinascimento (1485-1625)</w:t>
      </w:r>
      <w:r w:rsidRPr="006469BE">
        <w:rPr>
          <w:rFonts w:ascii="Garamond" w:hAnsi="Garamond"/>
          <w:sz w:val="24"/>
          <w:szCs w:val="24"/>
        </w:rPr>
        <w:t>, Roma, Carocci, “Studi Superiori”, 2016, pp. 432 (ISBN 978-88-430-8060-1).</w:t>
      </w:r>
    </w:p>
    <w:p w:rsidR="00692165" w:rsidRPr="006469BE" w:rsidRDefault="00692165" w:rsidP="006220DE">
      <w:pPr>
        <w:autoSpaceDE w:val="0"/>
        <w:autoSpaceDN w:val="0"/>
        <w:adjustRightInd w:val="0"/>
        <w:spacing w:after="120" w:line="240" w:lineRule="auto"/>
        <w:ind w:firstLine="3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</w:p>
    <w:p w:rsidR="006469BE" w:rsidRPr="006469BE" w:rsidRDefault="006469BE" w:rsidP="006220DE">
      <w:p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  <w:t>3. Edizioni di testi</w:t>
      </w:r>
    </w:p>
    <w:p w:rsidR="00C16555" w:rsidRDefault="006469BE" w:rsidP="006220DE">
      <w:pPr>
        <w:pStyle w:val="NormaleWeb"/>
        <w:spacing w:before="0" w:beforeAutospacing="0" w:after="120" w:afterAutospacing="0"/>
        <w:ind w:firstLine="397"/>
        <w:jc w:val="both"/>
        <w:rPr>
          <w:rStyle w:val="MacchinadascrivereHTML"/>
          <w:rFonts w:ascii="Garamond" w:hAnsi="Garamond" w:cs="Times New Roman"/>
          <w:sz w:val="24"/>
          <w:szCs w:val="24"/>
        </w:rPr>
      </w:pPr>
      <w:r w:rsidRPr="00C16555">
        <w:rPr>
          <w:rFonts w:ascii="Garamond" w:hAnsi="Garamond"/>
          <w:bCs/>
        </w:rPr>
        <w:t xml:space="preserve">1. </w:t>
      </w:r>
      <w:r w:rsidR="00C16555" w:rsidRPr="00C16555">
        <w:rPr>
          <w:rStyle w:val="MacchinadascrivereHTML"/>
          <w:rFonts w:ascii="Garamond" w:hAnsi="Garamond" w:cs="Times New Roman"/>
          <w:sz w:val="24"/>
          <w:szCs w:val="24"/>
        </w:rPr>
        <w:t xml:space="preserve">William Shakespeare, </w:t>
      </w:r>
      <w:r w:rsidR="00C16555" w:rsidRPr="00450768">
        <w:rPr>
          <w:rStyle w:val="MacchinadascrivereHTML"/>
          <w:rFonts w:ascii="Garamond" w:hAnsi="Garamond" w:cs="Times New Roman"/>
          <w:i/>
          <w:iCs/>
          <w:sz w:val="24"/>
          <w:szCs w:val="24"/>
        </w:rPr>
        <w:t>I</w:t>
      </w:r>
      <w:r w:rsidR="00C16555" w:rsidRPr="00C16555">
        <w:rPr>
          <w:rStyle w:val="MacchinadascrivereHTML"/>
          <w:rFonts w:ascii="Garamond" w:hAnsi="Garamond" w:cs="Times New Roman"/>
          <w:i/>
          <w:iCs/>
          <w:sz w:val="24"/>
          <w:szCs w:val="24"/>
        </w:rPr>
        <w:t>l regno di re Edoardo III</w:t>
      </w:r>
      <w:r w:rsidR="00C16555" w:rsidRPr="00C16555">
        <w:rPr>
          <w:rStyle w:val="MacchinadascrivereHTML"/>
          <w:rFonts w:ascii="Garamond" w:hAnsi="Garamond" w:cs="Times New Roman"/>
          <w:sz w:val="24"/>
          <w:szCs w:val="24"/>
        </w:rPr>
        <w:t xml:space="preserve">, Nota introduttiva, traduzione e note di Michele Stanco, in </w:t>
      </w:r>
      <w:r w:rsidR="00C16555" w:rsidRPr="00C16555">
        <w:rPr>
          <w:rStyle w:val="MacchinadascrivereHTML"/>
          <w:rFonts w:ascii="Garamond" w:hAnsi="Garamond" w:cs="Times New Roman"/>
          <w:i/>
          <w:iCs/>
          <w:sz w:val="24"/>
          <w:szCs w:val="24"/>
        </w:rPr>
        <w:t>Tutte le opere. I drammi storici</w:t>
      </w:r>
      <w:r w:rsidR="00C16555" w:rsidRPr="00C16555">
        <w:rPr>
          <w:rStyle w:val="MacchinadascrivereHTML"/>
          <w:rFonts w:ascii="Garamond" w:hAnsi="Garamond" w:cs="Times New Roman"/>
          <w:sz w:val="24"/>
          <w:szCs w:val="24"/>
        </w:rPr>
        <w:t>, coordinamento generale di Franco Marenco, vol. III, Milano, Bompiani, 2017, pp. 1119-1340 e 3135-55 (ISBN 978-88-452-9444-0)</w:t>
      </w:r>
    </w:p>
    <w:p w:rsidR="00692165" w:rsidRPr="00C16555" w:rsidRDefault="00692165" w:rsidP="006220DE">
      <w:pPr>
        <w:pStyle w:val="NormaleWeb"/>
        <w:spacing w:before="0" w:beforeAutospacing="0" w:after="120" w:afterAutospacing="0"/>
        <w:ind w:firstLine="397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285C2E" w:rsidRPr="00285C2E" w:rsidRDefault="006469BE" w:rsidP="006220DE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  <w:t>4</w:t>
      </w:r>
      <w:r w:rsidR="00285C2E" w:rsidRPr="00285C2E"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  <w:t>. Saggi in volumi miscellanei</w:t>
      </w:r>
    </w:p>
    <w:p w:rsidR="00285C2E" w:rsidRDefault="00450768" w:rsidP="006220DE">
      <w:pPr>
        <w:spacing w:after="120" w:line="240" w:lineRule="auto"/>
        <w:ind w:firstLine="397"/>
        <w:jc w:val="both"/>
        <w:rPr>
          <w:rFonts w:ascii="Garamond" w:hAnsi="Garamond"/>
          <w:sz w:val="24"/>
          <w:szCs w:val="24"/>
          <w:lang w:eastAsia="it-IT"/>
        </w:rPr>
      </w:pPr>
      <w:r w:rsidRPr="00450768">
        <w:rPr>
          <w:rFonts w:ascii="Garamond" w:hAnsi="Garamond"/>
          <w:sz w:val="24"/>
          <w:szCs w:val="24"/>
          <w:lang w:eastAsia="it-IT"/>
        </w:rPr>
        <w:t>1.</w:t>
      </w:r>
      <w:r w:rsidR="004D390E">
        <w:rPr>
          <w:rFonts w:ascii="Garamond" w:hAnsi="Garamond"/>
          <w:sz w:val="24"/>
          <w:szCs w:val="24"/>
          <w:lang w:eastAsia="it-IT"/>
        </w:rPr>
        <w:t xml:space="preserve"> </w:t>
      </w:r>
      <w:r w:rsidRPr="00450768">
        <w:rPr>
          <w:rFonts w:ascii="Garamond" w:hAnsi="Garamond"/>
          <w:sz w:val="24"/>
          <w:szCs w:val="24"/>
          <w:lang w:eastAsia="it-IT"/>
        </w:rPr>
        <w:t>“</w:t>
      </w:r>
      <w:r w:rsidR="00285C2E" w:rsidRPr="00450768">
        <w:rPr>
          <w:rFonts w:ascii="Garamond" w:hAnsi="Garamond"/>
          <w:sz w:val="24"/>
          <w:szCs w:val="24"/>
          <w:lang w:eastAsia="it-IT"/>
        </w:rPr>
        <w:t xml:space="preserve">Le insolubili ambiguità del codice dinastico. </w:t>
      </w:r>
      <w:r w:rsidR="00285C2E" w:rsidRPr="00450768">
        <w:rPr>
          <w:rFonts w:ascii="Garamond" w:hAnsi="Garamond"/>
          <w:i/>
          <w:iCs/>
          <w:sz w:val="24"/>
          <w:szCs w:val="24"/>
          <w:lang w:eastAsia="it-IT"/>
        </w:rPr>
        <w:t>King John</w:t>
      </w:r>
      <w:r w:rsidRPr="00450768">
        <w:rPr>
          <w:rFonts w:ascii="Garamond" w:hAnsi="Garamond"/>
          <w:sz w:val="24"/>
          <w:szCs w:val="24"/>
          <w:lang w:eastAsia="it-IT"/>
        </w:rPr>
        <w:t xml:space="preserve"> come ‘problem play’”</w:t>
      </w:r>
      <w:r w:rsidR="00285C2E" w:rsidRPr="00450768">
        <w:rPr>
          <w:rFonts w:ascii="Garamond" w:hAnsi="Garamond"/>
          <w:sz w:val="24"/>
          <w:szCs w:val="24"/>
          <w:lang w:eastAsia="it-IT"/>
        </w:rPr>
        <w:t xml:space="preserve">, in Mariangela Tempera (a cura di), </w:t>
      </w:r>
      <w:r w:rsidRPr="00450768">
        <w:rPr>
          <w:rFonts w:ascii="Garamond" w:hAnsi="Garamond"/>
          <w:i/>
          <w:iCs/>
          <w:sz w:val="24"/>
          <w:szCs w:val="24"/>
          <w:lang w:eastAsia="it-IT"/>
        </w:rPr>
        <w:t>“King John”</w:t>
      </w:r>
      <w:r w:rsidR="00285C2E" w:rsidRPr="00450768">
        <w:rPr>
          <w:rFonts w:ascii="Garamond" w:hAnsi="Garamond"/>
          <w:i/>
          <w:iCs/>
          <w:sz w:val="24"/>
          <w:szCs w:val="24"/>
          <w:lang w:eastAsia="it-IT"/>
        </w:rPr>
        <w:t>. Dal testo alla scena</w:t>
      </w:r>
      <w:r w:rsidRPr="00450768">
        <w:rPr>
          <w:rFonts w:ascii="Garamond" w:hAnsi="Garamond"/>
          <w:sz w:val="24"/>
          <w:szCs w:val="24"/>
          <w:lang w:eastAsia="it-IT"/>
        </w:rPr>
        <w:t>, “</w:t>
      </w:r>
      <w:r w:rsidR="00285C2E" w:rsidRPr="00450768">
        <w:rPr>
          <w:rFonts w:ascii="Garamond" w:hAnsi="Garamond"/>
          <w:sz w:val="24"/>
          <w:szCs w:val="24"/>
          <w:lang w:eastAsia="it-IT"/>
        </w:rPr>
        <w:t>S</w:t>
      </w:r>
      <w:r w:rsidRPr="00450768">
        <w:rPr>
          <w:rFonts w:ascii="Garamond" w:hAnsi="Garamond"/>
          <w:sz w:val="24"/>
          <w:szCs w:val="24"/>
          <w:lang w:eastAsia="it-IT"/>
        </w:rPr>
        <w:t>hakespeare dal testo alla scena”</w:t>
      </w:r>
      <w:r w:rsidR="00285C2E" w:rsidRPr="00450768">
        <w:rPr>
          <w:rFonts w:ascii="Garamond" w:hAnsi="Garamond"/>
          <w:sz w:val="24"/>
          <w:szCs w:val="24"/>
          <w:lang w:eastAsia="it-IT"/>
        </w:rPr>
        <w:t>, Bologna, Clueb, 1993, pp. 91-109 (ISBN 8849104596).</w:t>
      </w:r>
    </w:p>
    <w:p w:rsidR="00285C2E" w:rsidRDefault="00514E8C" w:rsidP="006220DE">
      <w:pPr>
        <w:spacing w:after="120" w:line="240" w:lineRule="auto"/>
        <w:ind w:firstLine="397"/>
        <w:jc w:val="both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2.</w:t>
      </w:r>
      <w:r w:rsidR="004D390E">
        <w:rPr>
          <w:rFonts w:ascii="Garamond" w:hAnsi="Garamond"/>
          <w:sz w:val="24"/>
          <w:szCs w:val="24"/>
          <w:lang w:eastAsia="it-IT"/>
        </w:rPr>
        <w:t xml:space="preserve"> </w:t>
      </w:r>
      <w:r>
        <w:rPr>
          <w:rFonts w:ascii="Garamond" w:hAnsi="Garamond"/>
          <w:sz w:val="24"/>
          <w:szCs w:val="24"/>
          <w:lang w:eastAsia="it-IT"/>
        </w:rPr>
        <w:t>“</w:t>
      </w:r>
      <w:r w:rsidR="00285C2E" w:rsidRPr="00450768">
        <w:rPr>
          <w:rFonts w:ascii="Garamond" w:hAnsi="Garamond"/>
          <w:sz w:val="24"/>
          <w:szCs w:val="24"/>
          <w:lang w:eastAsia="it-IT"/>
        </w:rPr>
        <w:t>Il contr</w:t>
      </w:r>
      <w:r>
        <w:rPr>
          <w:rFonts w:ascii="Garamond" w:hAnsi="Garamond"/>
          <w:sz w:val="24"/>
          <w:szCs w:val="24"/>
          <w:lang w:eastAsia="it-IT"/>
        </w:rPr>
        <w:t>atto ebraico-cristiano. L’</w:t>
      </w:r>
      <w:r w:rsidR="00285C2E" w:rsidRPr="00450768">
        <w:rPr>
          <w:rFonts w:ascii="Garamond" w:hAnsi="Garamond"/>
          <w:sz w:val="24"/>
          <w:szCs w:val="24"/>
          <w:lang w:eastAsia="it-IT"/>
        </w:rPr>
        <w:t xml:space="preserve">usura, la penale, il processo in </w:t>
      </w:r>
      <w:r w:rsidR="00285C2E" w:rsidRPr="00450768">
        <w:rPr>
          <w:rFonts w:ascii="Garamond" w:hAnsi="Garamond"/>
          <w:i/>
          <w:iCs/>
          <w:sz w:val="24"/>
          <w:szCs w:val="24"/>
          <w:lang w:eastAsia="it-IT"/>
        </w:rPr>
        <w:t>The Merchant of Venice</w:t>
      </w:r>
      <w:r>
        <w:rPr>
          <w:rFonts w:ascii="Garamond" w:hAnsi="Garamond"/>
          <w:sz w:val="24"/>
          <w:szCs w:val="24"/>
          <w:lang w:eastAsia="it-IT"/>
        </w:rPr>
        <w:t>”</w:t>
      </w:r>
      <w:r w:rsidR="00285C2E" w:rsidRPr="00450768">
        <w:rPr>
          <w:rFonts w:ascii="Garamond" w:hAnsi="Garamond"/>
          <w:sz w:val="24"/>
          <w:szCs w:val="24"/>
          <w:lang w:eastAsia="it-IT"/>
        </w:rPr>
        <w:t xml:space="preserve">, in Mariangela Tempera (a cura di), </w:t>
      </w:r>
      <w:r>
        <w:rPr>
          <w:rFonts w:ascii="Garamond" w:hAnsi="Garamond"/>
          <w:i/>
          <w:iCs/>
          <w:sz w:val="24"/>
          <w:szCs w:val="24"/>
          <w:lang w:eastAsia="it-IT"/>
        </w:rPr>
        <w:t>“The Merchant of Venice”</w:t>
      </w:r>
      <w:r w:rsidR="00285C2E" w:rsidRPr="00450768">
        <w:rPr>
          <w:rFonts w:ascii="Garamond" w:hAnsi="Garamond"/>
          <w:i/>
          <w:iCs/>
          <w:sz w:val="24"/>
          <w:szCs w:val="24"/>
          <w:lang w:eastAsia="it-IT"/>
        </w:rPr>
        <w:t>. Dal testo alla scena</w:t>
      </w:r>
      <w:r>
        <w:rPr>
          <w:rFonts w:ascii="Garamond" w:hAnsi="Garamond"/>
          <w:sz w:val="24"/>
          <w:szCs w:val="24"/>
          <w:lang w:eastAsia="it-IT"/>
        </w:rPr>
        <w:t>, “</w:t>
      </w:r>
      <w:r w:rsidR="00285C2E" w:rsidRPr="00450768">
        <w:rPr>
          <w:rFonts w:ascii="Garamond" w:hAnsi="Garamond"/>
          <w:sz w:val="24"/>
          <w:szCs w:val="24"/>
          <w:lang w:eastAsia="it-IT"/>
        </w:rPr>
        <w:t>S</w:t>
      </w:r>
      <w:r>
        <w:rPr>
          <w:rFonts w:ascii="Garamond" w:hAnsi="Garamond"/>
          <w:sz w:val="24"/>
          <w:szCs w:val="24"/>
          <w:lang w:eastAsia="it-IT"/>
        </w:rPr>
        <w:t>hakespeare dal testo alla scena”</w:t>
      </w:r>
      <w:r w:rsidR="00285C2E" w:rsidRPr="00450768">
        <w:rPr>
          <w:rFonts w:ascii="Garamond" w:hAnsi="Garamond"/>
          <w:sz w:val="24"/>
          <w:szCs w:val="24"/>
          <w:lang w:eastAsia="it-IT"/>
        </w:rPr>
        <w:t>, Bologna, Clueb, 1994, pp. 87-116 (ISBN 8849104758).</w:t>
      </w:r>
    </w:p>
    <w:p w:rsidR="00285C2E" w:rsidRDefault="00514E8C" w:rsidP="006220DE">
      <w:pPr>
        <w:spacing w:after="120" w:line="240" w:lineRule="auto"/>
        <w:ind w:firstLine="397"/>
        <w:jc w:val="both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3.</w:t>
      </w:r>
      <w:r w:rsidR="004D390E">
        <w:rPr>
          <w:rFonts w:ascii="Garamond" w:hAnsi="Garamond"/>
          <w:sz w:val="24"/>
          <w:szCs w:val="24"/>
          <w:lang w:eastAsia="it-IT"/>
        </w:rPr>
        <w:t xml:space="preserve"> </w:t>
      </w:r>
      <w:r>
        <w:rPr>
          <w:rFonts w:ascii="Garamond" w:hAnsi="Garamond"/>
          <w:sz w:val="24"/>
          <w:szCs w:val="24"/>
          <w:lang w:eastAsia="it-IT"/>
        </w:rPr>
        <w:t>“</w:t>
      </w:r>
      <w:r w:rsidR="00285C2E" w:rsidRPr="00450768">
        <w:rPr>
          <w:rFonts w:ascii="Garamond" w:hAnsi="Garamond"/>
          <w:i/>
          <w:iCs/>
          <w:sz w:val="24"/>
          <w:szCs w:val="24"/>
          <w:lang w:eastAsia="it-IT"/>
        </w:rPr>
        <w:t>The Tempest</w:t>
      </w:r>
      <w:r>
        <w:rPr>
          <w:rFonts w:ascii="Garamond" w:hAnsi="Garamond"/>
          <w:sz w:val="24"/>
          <w:szCs w:val="24"/>
          <w:lang w:eastAsia="it-IT"/>
        </w:rPr>
        <w:t xml:space="preserve"> e il genere commedia”</w:t>
      </w:r>
      <w:r w:rsidR="00285C2E" w:rsidRPr="00450768">
        <w:rPr>
          <w:rFonts w:ascii="Garamond" w:hAnsi="Garamond"/>
          <w:sz w:val="24"/>
          <w:szCs w:val="24"/>
          <w:lang w:eastAsia="it-IT"/>
        </w:rPr>
        <w:t xml:space="preserve">, in Mario Melchionda (cura e intr.), </w:t>
      </w:r>
      <w:r w:rsidR="00285C2E" w:rsidRPr="00450768">
        <w:rPr>
          <w:rFonts w:ascii="Garamond" w:hAnsi="Garamond"/>
          <w:i/>
          <w:iCs/>
          <w:sz w:val="24"/>
          <w:szCs w:val="24"/>
          <w:lang w:eastAsia="it-IT"/>
        </w:rPr>
        <w:t>Tra Shakespeare e Milton</w:t>
      </w:r>
      <w:r w:rsidR="00285C2E" w:rsidRPr="00450768">
        <w:rPr>
          <w:rFonts w:ascii="Garamond" w:hAnsi="Garamond"/>
          <w:sz w:val="24"/>
          <w:szCs w:val="24"/>
          <w:lang w:eastAsia="it-IT"/>
        </w:rPr>
        <w:t>, Padova, Unipress, 1997, pp. 3-60 (ISBN 88-8098-073-4).</w:t>
      </w:r>
    </w:p>
    <w:p w:rsidR="00285C2E" w:rsidRDefault="00514E8C" w:rsidP="006220DE">
      <w:pPr>
        <w:spacing w:after="120" w:line="240" w:lineRule="auto"/>
        <w:ind w:firstLine="397"/>
        <w:jc w:val="both"/>
        <w:rPr>
          <w:rFonts w:ascii="Garamond" w:hAnsi="Garamond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  <w:lang w:eastAsia="it-IT"/>
        </w:rPr>
        <w:t>4. “</w:t>
      </w:r>
      <w:r w:rsidR="00285C2E" w:rsidRPr="00450768">
        <w:rPr>
          <w:rFonts w:ascii="Garamond" w:hAnsi="Garamond"/>
          <w:sz w:val="24"/>
          <w:szCs w:val="24"/>
          <w:lang w:eastAsia="it-IT"/>
        </w:rPr>
        <w:t xml:space="preserve">Commedia di beffa e commedia di formazione. Riscrittura parodica e ricodifica culturale in </w:t>
      </w:r>
      <w:r w:rsidR="00285C2E" w:rsidRPr="00450768">
        <w:rPr>
          <w:rFonts w:ascii="Garamond" w:hAnsi="Garamond"/>
          <w:i/>
          <w:iCs/>
          <w:sz w:val="24"/>
          <w:szCs w:val="24"/>
          <w:lang w:eastAsia="it-IT"/>
        </w:rPr>
        <w:t>The Taming of the Shrew</w:t>
      </w:r>
      <w:r>
        <w:rPr>
          <w:rFonts w:ascii="Garamond" w:hAnsi="Garamond"/>
          <w:sz w:val="24"/>
          <w:szCs w:val="24"/>
          <w:lang w:eastAsia="it-IT"/>
        </w:rPr>
        <w:t>”</w:t>
      </w:r>
      <w:r w:rsidR="00285C2E" w:rsidRPr="00450768">
        <w:rPr>
          <w:rFonts w:ascii="Garamond" w:hAnsi="Garamond"/>
          <w:sz w:val="24"/>
          <w:szCs w:val="24"/>
          <w:lang w:eastAsia="it-IT"/>
        </w:rPr>
        <w:t xml:space="preserve">, in Mariangela Tempera (a cura di), </w:t>
      </w:r>
      <w:r>
        <w:rPr>
          <w:rFonts w:ascii="Garamond" w:hAnsi="Garamond"/>
          <w:i/>
          <w:iCs/>
          <w:sz w:val="24"/>
          <w:szCs w:val="24"/>
          <w:lang w:eastAsia="it-IT"/>
        </w:rPr>
        <w:t>“The</w:t>
      </w:r>
      <w:r w:rsidR="004D390E">
        <w:rPr>
          <w:rFonts w:ascii="Garamond" w:hAnsi="Garamond"/>
          <w:i/>
          <w:iCs/>
          <w:sz w:val="24"/>
          <w:szCs w:val="24"/>
          <w:lang w:eastAsia="it-IT"/>
        </w:rPr>
        <w:t xml:space="preserve"> </w:t>
      </w:r>
      <w:r>
        <w:rPr>
          <w:rFonts w:ascii="Garamond" w:hAnsi="Garamond"/>
          <w:i/>
          <w:iCs/>
          <w:sz w:val="24"/>
          <w:szCs w:val="24"/>
          <w:lang w:eastAsia="it-IT"/>
        </w:rPr>
        <w:t>Taming of the Shrew”</w:t>
      </w:r>
      <w:r w:rsidR="00285C2E" w:rsidRPr="00450768">
        <w:rPr>
          <w:rFonts w:ascii="Garamond" w:hAnsi="Garamond"/>
          <w:i/>
          <w:iCs/>
          <w:sz w:val="24"/>
          <w:szCs w:val="24"/>
          <w:lang w:eastAsia="it-IT"/>
        </w:rPr>
        <w:t>. Dal testo alla scena</w:t>
      </w:r>
      <w:r w:rsidR="00285C2E" w:rsidRPr="00450768">
        <w:rPr>
          <w:rFonts w:ascii="Garamond" w:hAnsi="Garamond"/>
          <w:sz w:val="24"/>
          <w:szCs w:val="24"/>
          <w:lang w:eastAsia="it-IT"/>
        </w:rPr>
        <w:t>, Bologna, Clueb, 1997, pp. 67-85 (ISBN 88-8091-487-1).</w:t>
      </w:r>
    </w:p>
    <w:p w:rsidR="00285C2E" w:rsidRDefault="00514E8C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5. “‘Talking of dreams’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. Illusione fantasmat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ica e malinconia in Shakespeare”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Carla Locatelli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Co(n)texts. Implicazioni testuali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Trento, Università degli Studi di Trento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–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Dipartimento di Scienze Filologiche e Storiche, 2000, pp. 307-41 (ISBN 88-8443-099-2).</w:t>
      </w:r>
    </w:p>
    <w:p w:rsidR="00285C2E" w:rsidRDefault="00514E8C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6.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Historico-Tragico-Comical Kings. Genre Conventions and/as Emblem</w:t>
      </w: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s of Power in Shakespeare’s Histories”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, in György E. Szőnyi and Rowland Wymer (eds.),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The Iconography of Power. Ideas and Images of Rulership on the English Renaissance Stage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Szeged, JATE Press, 2000, pp. 117-45 (ISBN 963 482 482 X).</w:t>
      </w:r>
    </w:p>
    <w:p w:rsidR="00285C2E" w:rsidRDefault="00514E8C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7.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Le sette vite di Falstaff. Giustizia penale e giustizia poetica in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Henry IV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(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1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2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) e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Henry V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Giovanna Silvani e Claudio Gallico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Shakespeare e Verdi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Parma, Università degli Studi di Parma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–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Facoltà di Lettere e Filosofia, 2000, pp. 99-117.</w:t>
      </w:r>
    </w:p>
    <w:p w:rsidR="00285C2E" w:rsidRPr="00285C2E" w:rsidRDefault="00514E8C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8.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Upon Historical Fiction. The Anachronism as a F</w:t>
      </w: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orm of Representational Economy”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in Giovanni Iamartino, Marialuisa Bignami and Carlo Pagetti (eds</w:t>
      </w: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.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The Economy Principle in English. Linguistic, Literary and Cultural Perspectives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Proceedings of the XIX Conference of the Associazione Italiana di Anglistica, Milan, 21-23 October 1999, Milano, Unicopli, 2002, pp. 626-40 (ISBN 88-400-0785-7).</w:t>
      </w:r>
    </w:p>
    <w:p w:rsidR="00285C2E" w:rsidRPr="00285C2E" w:rsidRDefault="00514E8C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9. “L’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improbabile formazione del principe Hal: da anti-eroe a eroe in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King Henry IV. Part One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Alessandra Petrina e Mario Melchionda (a cura di), </w:t>
      </w:r>
      <w:r w:rsidR="00485C27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Imperi moderni. L’</w:t>
      </w:r>
      <w:r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e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roe tra apoteosi e parodia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Padova, Unipress, 2002, pp. 29-52 (ISBN 88-8098-171-4). </w:t>
      </w:r>
    </w:p>
    <w:p w:rsidR="006220DE" w:rsidRDefault="00514E8C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10. “L’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idea e il testo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. Linee d’indagine poetica nell’antichità classica e nell’età elisabettiana”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Angela Locatelli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La conoscenza della letteratura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Bergamo, Sestante, 2002, pp. 79-112 (ISBN 88-87445-24-9).</w:t>
      </w:r>
    </w:p>
    <w:p w:rsidR="006220DE" w:rsidRDefault="00514E8C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11.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La parola narrativa come luog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o della memoria in Erri De Luca”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Carla Locatelli e Oriana Palusci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Fare letteratura oggi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Trento, Università degli Studi di Trento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–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Dipartimento di Scienze Filologiche e Storiche, 2003, pp. 29-37 (ISBN 88-8443-036-4).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12. “Per un’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autobiografia intellettuale in forma di sonetto.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On His Blindness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John Milton”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Nestore Pirillo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Autobiografia e filosofia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Studi 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testi del Rinascimento europeo”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Roma, Edizioni di Storia e Letteratura, 2003, pp. 353-84 (ISBN 88-8498-080-1).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13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La cera, il calco: forma e formazione del sé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nel personaggio shakespeariano”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Franco Marenco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Il personaggio nelle arti della narrazione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Roma, Edizioni di Storia e Letteratura, 2007, pp. 323-44 (ISBN 978-88-8498-445-6).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14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Introduction. Aest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hetic Forms: Ancient and Modern”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in John Roe and Michele Stanco (eds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.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Inspiration and Technique. Ancient to Modern Views on Beauty and Art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Bern-Oxford, Peter Lang, 2007, pp. 11-32 (ISBN 978-3-03910-314-0).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15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. “‘</w:t>
      </w: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Madness’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and ‘Technique’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. Psychological Theories of Beauty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and Linguistic Theories of Art”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in John Roe and Michele Stanco (eds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.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Inspiration and Technique. Ancient to Modern Views on Beauty and Art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Bern-Oxford, Peter Lang, 2007, pp. 49-81 (ISBN 978-3-03910-314-0).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16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“‘Specchio della natura o ‘larger than life’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? Verosimiglianza, catars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i e straniamento in Shakespeare”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Chiara Lombardi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Il personaggio. Figure della dissolvenza e della permanenza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, Alessandria, Dell’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Orso, 2008, pp. 619-27 (ISBN 978-88-6274-044-9).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17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Omosessualità e 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gravidanza poetica. Figure dell’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amor pla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tonico da Shakespeare a Forster”, in Stefano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Manferlotti (a cura di), </w:t>
      </w:r>
      <w:r w:rsidR="00485C27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La retorica dell’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eros. Figure del discorso amoroso nella letteratura europea moderna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Roma, Carocci, 2009, pp. 35-61. (ISBN 978-88-430-4982-0). 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18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Prospero e il teatro degli spiriti. Riforma ermetica ed espiazione purgatoriale in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The Tempest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Clara Mucci, Chiara Magni, Laura Tommaso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Le ultime opere di Shakespeare. Da Pericles al caso Cardenio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, Napoli, Liguori, “Critica e letteratura”,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2009, pp. 225-45 (ISBN 978-88-207-4716-9).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19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Translation as a royal art. 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Le traduzioni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letterarie di Elisabetta I”, in Oriana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Palusci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Traduttrici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Napoli, Liguori, 2010, pp. 1-11 (ISBN 978-88-207-4954-5).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20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filosofo tra le nuvole. Il ritratto 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di Socrate in Aristofane e nell’intertesto contemporaneo”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in Giuseppe Sertoli, Ca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rla Vaglio Marengo 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Chiara Lombardi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Comparatistica e intertestualità. Studi in onore di Franco Marenco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, 2 voll., Alessandria, dell’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Orso, 2010, vol. 1, pp.</w:t>
      </w:r>
      <w:r w:rsidR="004D390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73-80 (ISBN 978-88-6274-186-6).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lastRenderedPageBreak/>
        <w:t>21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To his Coy Master Mistress. The Pleasures of Homoeroticism and (Pro)cr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eation in Shakespeare’s </w:t>
      </w:r>
      <w:r w:rsidR="00485C27" w:rsidRPr="00485C27">
        <w:rPr>
          <w:rFonts w:ascii="Garamond" w:eastAsia="Times New Roman" w:hAnsi="Garamond" w:cs="Times New Roman"/>
          <w:i/>
          <w:sz w:val="24"/>
          <w:szCs w:val="24"/>
          <w:lang w:val="en-US" w:eastAsia="it-IT"/>
        </w:rPr>
        <w:t>Sonnets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, in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Le plaisir au temps de la Renaissance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sous la direction de Marie-Thérèse Jones-Davies, textes réunis par Margaret Jones-Davies, Florence Malhomme, Marie-Madeleine Martinet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 xml:space="preserve"> 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(Societé Internationale de Recherches Interdisciplinaires sur la Renaissance), Turnhout, Brepols, 2010, pp. 67-98 (ISBN 978-2-503-53247-9).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22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“Tra natura e cultura. L’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improbabile formazione di Katherina in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The Taming of the Shrew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Laura Bandiera e Diego Saglia (a cura di), </w:t>
      </w:r>
      <w:r w:rsidR="00485C27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De claris mulieribus: f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igure e storie femminili nella tradizione europea. Scritti in onore di Giovanna Silvani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Parma, Monte Università Parma, 2011, pp. 55-74 (ISBN 978-88-7847-369-0).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23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La giustizia poetica. Una premessa teorica, con alcune riflession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i sulla commedia shakespeariana”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in Raffaele Ruggiero e Erina Siciliani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“Turn pre-ordinance and first decree into the law of children”. Sapienza giuridica nel teatro shakespeariano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Lecce, Pensa, 2012, pp. 253-72 (ISBN 978-88-8232-954-9).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24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“‘</w:t>
      </w:r>
      <w:r w:rsidR="00485C2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Taking a bond of Fate’</w:t>
      </w:r>
      <w:r w:rsidR="00285C2E" w:rsidRPr="00285C2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. </w:t>
      </w:r>
      <w:r w:rsidR="00285C2E" w:rsidRPr="00285C2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Macbeth</w:t>
      </w:r>
      <w:r w:rsidR="00285C2E" w:rsidRPr="00285C2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: tragedia della p</w:t>
      </w:r>
      <w:r w:rsidR="00485C2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rofezia o tragedia della colpa?”</w:t>
      </w:r>
      <w:r w:rsidR="00285C2E" w:rsidRPr="00285C2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in Cristina Consiglio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Il futuro come intreccio. Tempo e profezia nella tradizione letteraria moderna e contemporanea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Messina, Mesogea, 2013, pp. 103-15 (ISBN 978-88-469-2127-7).</w:t>
      </w:r>
    </w:p>
    <w:p w:rsidR="006220D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25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Il tragico come forma narrativa e c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ome visione del mondo: aspetti ‘sacrificali’ nella tragedia shakespeariana”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 Simonetta de Filippis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William</w:t>
      </w:r>
      <w:r w:rsidR="004D390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Shakespeare e il senso del tragico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Loffredo, Napoli, 2013, pp. 93-103 (ISBN 978-88-7564-645-5)</w:t>
      </w:r>
    </w:p>
    <w:p w:rsidR="006220DE" w:rsidRDefault="006102FE" w:rsidP="006220DE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26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. “</w:t>
      </w:r>
      <w:r w:rsidR="00285C2E" w:rsidRPr="00285C2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Dal cu</w:t>
      </w:r>
      <w:r w:rsidR="00485C2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ore alla pagina. Autoritratti d’</w:t>
      </w:r>
      <w:r w:rsidR="00285C2E" w:rsidRPr="00285C2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auto</w:t>
      </w:r>
      <w:r w:rsidR="00485C2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 nei Canzonieri elisabettiani”</w:t>
      </w:r>
      <w:r w:rsidR="00285C2E" w:rsidRPr="00285C2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in Giuseppe Brunetti e Alessandra Petrina (a cura di), </w:t>
      </w:r>
      <w:r w:rsidR="00285C2E" w:rsidRPr="00285C2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Abeunt studia in mores. Saggi in onore di Mario Melchionda</w:t>
      </w:r>
      <w:r w:rsidR="00285C2E" w:rsidRPr="00285C2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Padova, Padova University Press, 2013, pp. 35-46 (ISBN 978-88-97385-86-8).</w:t>
      </w:r>
    </w:p>
    <w:p w:rsidR="006220DE" w:rsidRDefault="006102FE" w:rsidP="006220DE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27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mobilità della parola shakespeariana: tra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stage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page</w:t>
      </w:r>
      <w:r w:rsidR="00485C27">
        <w:rPr>
          <w:rFonts w:ascii="Garamond" w:eastAsia="Times New Roman" w:hAnsi="Garamond" w:cs="Times New Roman"/>
          <w:sz w:val="24"/>
          <w:szCs w:val="24"/>
          <w:lang w:eastAsia="it-IT"/>
        </w:rPr>
        <w:t>”, in Carmela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Maria Laudando e Rossella Ciocca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Parole e culture in movimento. La città</w:t>
      </w:r>
      <w:r w:rsidR="00285C2E" w:rsidRPr="00285C2E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e le tecnologie mobili della comunicazione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Trento, Tangram Edizioni Scientifiche, 2014, pp. 37-52 (ISBN 978-88-6458-110-1).</w:t>
      </w:r>
    </w:p>
    <w:p w:rsidR="00285C2E" w:rsidRDefault="006102FE" w:rsidP="006220DE">
      <w:pPr>
        <w:spacing w:after="120" w:line="240" w:lineRule="auto"/>
        <w:ind w:firstLine="397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28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. “</w:t>
      </w:r>
      <w:r w:rsidR="00285C2E" w:rsidRPr="00285C2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Guarire con le parole. Giustizia poetica e taumaturgia verbale in </w:t>
      </w:r>
      <w:r w:rsidR="00285C2E" w:rsidRPr="00285C2E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The Taming of the Shrew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”, in Stefano Manferlotti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La malattia come metafora nelle letterature dell’Occidente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Napoli, Liguori, 2014, pp. 35-58 (ISBN 978-88-207-6334-3).</w:t>
      </w:r>
    </w:p>
    <w:p w:rsidR="00692165" w:rsidRDefault="00692165" w:rsidP="006220DE">
      <w:pPr>
        <w:autoSpaceDE w:val="0"/>
        <w:autoSpaceDN w:val="0"/>
        <w:adjustRightInd w:val="0"/>
        <w:spacing w:after="120" w:line="240" w:lineRule="auto"/>
        <w:ind w:firstLine="397"/>
        <w:jc w:val="both"/>
        <w:rPr>
          <w:rFonts w:ascii="Garamond" w:hAnsi="Garamond"/>
          <w:sz w:val="24"/>
          <w:szCs w:val="24"/>
        </w:rPr>
      </w:pPr>
      <w:r w:rsidRPr="00485C27">
        <w:rPr>
          <w:rFonts w:ascii="Garamond" w:hAnsi="Garamond"/>
          <w:sz w:val="24"/>
          <w:szCs w:val="24"/>
          <w:lang w:eastAsia="it-IT"/>
        </w:rPr>
        <w:t xml:space="preserve">29. “Introduzione”, in </w:t>
      </w:r>
      <w:r w:rsidRPr="00485C27">
        <w:rPr>
          <w:rFonts w:ascii="Garamond" w:hAnsi="Garamond"/>
          <w:sz w:val="24"/>
          <w:szCs w:val="24"/>
        </w:rPr>
        <w:t xml:space="preserve">Michele Stanco (a cura di), </w:t>
      </w:r>
      <w:r w:rsidRPr="00485C27">
        <w:rPr>
          <w:rFonts w:ascii="Garamond" w:hAnsi="Garamond"/>
          <w:i/>
          <w:sz w:val="24"/>
          <w:szCs w:val="24"/>
        </w:rPr>
        <w:t>La letteratura inglese dall’Umanesimo al Rinascimento (1485-1625)</w:t>
      </w:r>
      <w:r w:rsidRPr="00485C27">
        <w:rPr>
          <w:rFonts w:ascii="Garamond" w:hAnsi="Garamond"/>
          <w:sz w:val="24"/>
          <w:szCs w:val="24"/>
        </w:rPr>
        <w:t>, Roma, Carocci, “Studi Superiori”, 2016, pp. 13-22 (ISBN 978-88-430-8060-1).</w:t>
      </w:r>
    </w:p>
    <w:p w:rsidR="00692165" w:rsidRDefault="00692165" w:rsidP="006220DE">
      <w:pPr>
        <w:autoSpaceDE w:val="0"/>
        <w:autoSpaceDN w:val="0"/>
        <w:adjustRightInd w:val="0"/>
        <w:spacing w:after="120" w:line="240" w:lineRule="auto"/>
        <w:ind w:firstLine="397"/>
        <w:jc w:val="both"/>
        <w:rPr>
          <w:rFonts w:ascii="Garamond" w:hAnsi="Garamond"/>
          <w:sz w:val="24"/>
          <w:szCs w:val="24"/>
        </w:rPr>
      </w:pPr>
      <w:r w:rsidRPr="00485C27">
        <w:rPr>
          <w:rFonts w:ascii="Garamond" w:hAnsi="Garamond"/>
          <w:sz w:val="24"/>
          <w:szCs w:val="24"/>
        </w:rPr>
        <w:t xml:space="preserve">30. “Shakespeare, poeta/artigiano: il canone, le forme drammatiche, i modelli culturali”, in Michele Stanco (a cura di), </w:t>
      </w:r>
      <w:r w:rsidRPr="00485C27">
        <w:rPr>
          <w:rFonts w:ascii="Garamond" w:hAnsi="Garamond"/>
          <w:i/>
          <w:sz w:val="24"/>
          <w:szCs w:val="24"/>
        </w:rPr>
        <w:t>La letteratura inglese dall’Umanesimo al Rinascimento (1485-1625)</w:t>
      </w:r>
      <w:r w:rsidRPr="00485C27">
        <w:rPr>
          <w:rFonts w:ascii="Garamond" w:hAnsi="Garamond"/>
          <w:sz w:val="24"/>
          <w:szCs w:val="24"/>
        </w:rPr>
        <w:t>, Roma, Carocci, “Studi Superiori”, 2016, pp. 245-350 (ISBN 978-88-430-8060-1).</w:t>
      </w:r>
    </w:p>
    <w:p w:rsidR="00692165" w:rsidRPr="00485C27" w:rsidRDefault="00692165" w:rsidP="006220DE">
      <w:pPr>
        <w:autoSpaceDE w:val="0"/>
        <w:autoSpaceDN w:val="0"/>
        <w:adjustRightInd w:val="0"/>
        <w:spacing w:after="120" w:line="240" w:lineRule="auto"/>
        <w:ind w:firstLine="397"/>
        <w:jc w:val="both"/>
        <w:rPr>
          <w:rFonts w:ascii="Garamond" w:hAnsi="Garamond"/>
          <w:sz w:val="24"/>
          <w:szCs w:val="24"/>
        </w:rPr>
      </w:pPr>
      <w:r w:rsidRPr="00485C27">
        <w:rPr>
          <w:rFonts w:ascii="Garamond" w:hAnsi="Garamond"/>
          <w:sz w:val="24"/>
          <w:szCs w:val="24"/>
        </w:rPr>
        <w:t xml:space="preserve">31. “Glossario dei termini letterari”, </w:t>
      </w:r>
      <w:r w:rsidRPr="00485C27">
        <w:rPr>
          <w:rFonts w:ascii="Garamond" w:hAnsi="Garamond"/>
          <w:sz w:val="24"/>
          <w:szCs w:val="24"/>
          <w:lang w:eastAsia="it-IT"/>
        </w:rPr>
        <w:t xml:space="preserve">in </w:t>
      </w:r>
      <w:r w:rsidRPr="00485C27">
        <w:rPr>
          <w:rFonts w:ascii="Garamond" w:hAnsi="Garamond"/>
          <w:sz w:val="24"/>
          <w:szCs w:val="24"/>
        </w:rPr>
        <w:t xml:space="preserve">Michele Stanco (a cura di), </w:t>
      </w:r>
      <w:r w:rsidRPr="00485C27">
        <w:rPr>
          <w:rFonts w:ascii="Garamond" w:hAnsi="Garamond"/>
          <w:i/>
          <w:sz w:val="24"/>
          <w:szCs w:val="24"/>
        </w:rPr>
        <w:t>La letteratura inglese dall’Umanesimo al Rinascimento (1485-1625)</w:t>
      </w:r>
      <w:r w:rsidRPr="00485C27">
        <w:rPr>
          <w:rFonts w:ascii="Garamond" w:hAnsi="Garamond"/>
          <w:sz w:val="24"/>
          <w:szCs w:val="24"/>
        </w:rPr>
        <w:t>, Roma, Carocci, “Studi Superiori”, 2016, pp. 409-18 (ISBN 978-88-430-8060-1).</w:t>
      </w:r>
    </w:p>
    <w:p w:rsidR="00285C2E" w:rsidRPr="00285C2E" w:rsidRDefault="00285C2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</w:p>
    <w:p w:rsidR="006220DE" w:rsidRDefault="006469BE" w:rsidP="006220DE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  <w:t>5</w:t>
      </w:r>
      <w:r w:rsidR="00285C2E" w:rsidRPr="00285C2E"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  <w:t>. Saggi su riviste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1.</w:t>
      </w:r>
      <w:r w:rsidR="004D390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Personificazione, generi di discorso e sistemi cult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urali. Una nota storico-teorica”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Passaggi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VI, 2, 1992, pp. 64-92 (ISSN 1121-3329).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2.</w:t>
      </w:r>
      <w:r w:rsidR="004D390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“Machiavelli’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 Use of Historical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Exempla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 the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Principe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Tuttitalia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III, 6, 1992, pp. 25-29 (ISSN 0957-1752).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3. “Teorie estetiche ‘narrate’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The Oval Portrait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Edgar Allan Poe”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L’Asino d’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oro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III, 5, 1992, pp. 147-59 (ISSN: 1126-7453).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4.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Teoria, norma e canone poetico in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The Arte of English Poesie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(1589) di George Puttenham”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Passaggi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VII, 3, 1993, pp. 103-35 (ISSN 1121-3329).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5.</w:t>
      </w:r>
      <w:r w:rsidR="004D390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“La tempesta, o del viaggio”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Trento e il teatro. Stagione di prosa 1997-98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“I quaderni dello spettacolo”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Trento, Centro Servizi Culturali S. Chiara, 1997, pp. 32-34.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6.</w:t>
      </w:r>
      <w:r w:rsidR="004D390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“L’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Antoniade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shakespeariana.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Antony and Cleopatra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tra miti di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fondazione e miti di decadenza”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Passaggi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XII, 1-2, 1998, pp. 54-67 (ISSN 1121-3329).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7.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Art and beauty. Linguistic versus p</w:t>
      </w: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sychological aesthetic theories”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ranam (recherches anglaises et nord américaines)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XXXVI, 1, 2003, pp. 47-68 (ISSN 0557-6989).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8. “Hutcheson’s ‘Idea’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of</w:t>
      </w:r>
      <w:r w:rsidR="004D390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Beauty and the Formation of Taste in E</w:t>
      </w: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arly Eighteenth-century Britain”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Textus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(n.ro monografico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Eighteenth-century Literature. The Languages of Aesthetics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a cura di Mirella Billi e Kenneth W. Graham), XVIII, 2005, pp. 25-38 (ISSN 1824-3967).</w:t>
      </w:r>
    </w:p>
    <w:p w:rsidR="00285C2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9. “‘A Kingdom for a Stage’. Shakespeare’s Theatricalisation of History”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Studi rinascimentali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3, 2005, pp. 201-17 (ISSN 1724-6164).</w:t>
      </w:r>
    </w:p>
    <w:p w:rsidR="006102FE" w:rsidRPr="00285C2E" w:rsidRDefault="006102F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10. 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“Prospero’s ‘airy charm’</w:t>
      </w:r>
      <w:r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. Neoplatonic Magic and Colonial Technology in </w:t>
      </w:r>
      <w:r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The Tempest</w:t>
      </w:r>
      <w:r w:rsidR="00485C27">
        <w:rPr>
          <w:rFonts w:ascii="Garamond" w:eastAsia="Times New Roman" w:hAnsi="Garamond" w:cs="Times New Roman"/>
          <w:sz w:val="24"/>
          <w:szCs w:val="24"/>
          <w:lang w:val="en-US" w:eastAsia="it-IT"/>
        </w:rPr>
        <w:t>”</w:t>
      </w:r>
      <w:r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, </w:t>
      </w:r>
      <w:r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Merope</w:t>
      </w:r>
      <w:r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(n.ro monografico </w:t>
      </w:r>
      <w:r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Shakespeare Studies in Italy</w:t>
      </w:r>
      <w:r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a cura di Michael Hattaway e Clara Mucci), XVII, 46-47, 2005/06, pp. 137-60 (ISBN 978-88-7433-427-8).</w:t>
      </w:r>
    </w:p>
    <w:p w:rsidR="00285C2E" w:rsidRPr="00285C2E" w:rsidRDefault="00285C2E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 </w:t>
      </w:r>
    </w:p>
    <w:p w:rsidR="006220DE" w:rsidRDefault="006469BE" w:rsidP="006220DE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val="en-US" w:eastAsia="it-IT"/>
        </w:rPr>
        <w:t>6</w:t>
      </w:r>
      <w:r w:rsidR="00285C2E" w:rsidRPr="00285C2E"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val="en-US" w:eastAsia="it-IT"/>
        </w:rPr>
        <w:t xml:space="preserve">. </w:t>
      </w:r>
      <w:r w:rsidR="00285C2E" w:rsidRPr="00285C2E">
        <w:rPr>
          <w:rFonts w:ascii="Garamond" w:eastAsia="Times New Roman" w:hAnsi="Garamond" w:cs="Times New Roman"/>
          <w:b/>
          <w:bCs/>
          <w:color w:val="CC0000"/>
          <w:sz w:val="24"/>
          <w:szCs w:val="24"/>
          <w:lang w:eastAsia="it-IT"/>
        </w:rPr>
        <w:t>Recensioni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1.</w:t>
      </w:r>
      <w:r w:rsidR="004D390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“</w:t>
      </w:r>
      <w:r w:rsidR="00DD64B5">
        <w:rPr>
          <w:rFonts w:ascii="Garamond" w:eastAsia="Times New Roman" w:hAnsi="Garamond" w:cs="Times New Roman"/>
          <w:sz w:val="24"/>
          <w:szCs w:val="24"/>
          <w:lang w:val="en-US" w:eastAsia="it-IT"/>
        </w:rPr>
        <w:t>Marilla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Battilana,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 xml:space="preserve">The Colonial Roots of American Fiction.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Notes toward a New Theory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Firenze, Olschki, 1988”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Lingua e letteratura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IX, 17, 1991, pp. 191-92 (ISSN 1122-3871)</w:t>
      </w:r>
    </w:p>
    <w:p w:rsidR="006220DE" w:rsidRDefault="00485C27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2.</w:t>
      </w:r>
      <w:r w:rsidR="004D390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“</w:t>
      </w:r>
      <w:r w:rsidR="00DD64B5">
        <w:rPr>
          <w:rFonts w:ascii="Garamond" w:eastAsia="Times New Roman" w:hAnsi="Garamond" w:cs="Times New Roman"/>
          <w:sz w:val="24"/>
          <w:szCs w:val="24"/>
          <w:lang w:eastAsia="it-IT"/>
        </w:rPr>
        <w:t>Stefano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Manferlotti, </w:t>
      </w:r>
      <w:r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Dopo l’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Impero. Romanzo ed etnia in Gran Bretagna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Napoli, Liguori, 1995”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Lingua e letteratura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XIX, 26, 1996, pp. 222-25 (ISSN 1122-3871).</w:t>
      </w:r>
    </w:p>
    <w:p w:rsidR="006220DE" w:rsidRDefault="00E56F8D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3.</w:t>
      </w:r>
      <w:r w:rsidR="004D390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Pauline Kiernan, </w:t>
      </w:r>
      <w:r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Shakespeare’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s Theory of Drama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Cambridge, C</w:t>
      </w: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>ambridge University Press, 1996”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Passaggi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val="en-US" w:eastAsia="it-IT"/>
        </w:rPr>
        <w:t>, XII, 1-2, 1998, pp. 82-85 (ISSN 1121-3329).</w:t>
      </w:r>
    </w:p>
    <w:p w:rsidR="006220DE" w:rsidRDefault="00E56F8D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4.</w:t>
      </w:r>
      <w:r w:rsidR="004D390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Angela Locatelli,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Il doppio e il picaresco. Un caso paradigmatic</w:t>
      </w:r>
      <w:r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o nel rinascimento inglese con ‘L’ameno racconto di Meum e Tuum’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di Henry Peacham Jr.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Milano, Jaca Book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1998 (testo inglese a fronte)”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Passaggi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XII, 1-2, 1998, pp. 85-88 (ISSN 1121-3329).</w:t>
      </w:r>
    </w:p>
    <w:p w:rsidR="006220DE" w:rsidRDefault="00E56F8D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5.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Silvia Carandini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Teatri barocchi, commedie, pastorali </w:t>
      </w:r>
      <w:r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nella drammaturgia europea fra ‘500 e ‘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600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Roma, Bulzoni, 2000”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Rivista di Letterature moderne e comparate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817CC3" w:rsidRPr="00450768">
        <w:rPr>
          <w:rFonts w:ascii="Garamond" w:hAnsi="Garamond"/>
          <w:sz w:val="24"/>
          <w:szCs w:val="24"/>
        </w:rPr>
        <w:t xml:space="preserve">n. s., </w:t>
      </w:r>
      <w:r w:rsidR="00817CC3">
        <w:rPr>
          <w:rFonts w:ascii="Garamond" w:eastAsia="Times New Roman" w:hAnsi="Garamond" w:cs="Times New Roman"/>
          <w:sz w:val="24"/>
          <w:szCs w:val="24"/>
          <w:lang w:eastAsia="it-IT"/>
        </w:rPr>
        <w:t>LV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1, 2002, pp. 109-14 (ISSN 0391-2108).</w:t>
      </w:r>
    </w:p>
    <w:p w:rsidR="006220DE" w:rsidRDefault="00E56F8D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6.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Domenico Tanteri,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Costretti ad essere felici. Studi sulla letteratura utopica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Catania, CUECM, 2001”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Rivista di Letterature moderne e comparate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817CC3" w:rsidRPr="00450768">
        <w:rPr>
          <w:rFonts w:ascii="Garamond" w:hAnsi="Garamond"/>
          <w:sz w:val="24"/>
          <w:szCs w:val="24"/>
        </w:rPr>
        <w:t xml:space="preserve">n. s., </w:t>
      </w:r>
      <w:r w:rsidR="00817CC3">
        <w:rPr>
          <w:rFonts w:ascii="Garamond" w:eastAsia="Times New Roman" w:hAnsi="Garamond" w:cs="Times New Roman"/>
          <w:sz w:val="24"/>
          <w:szCs w:val="24"/>
          <w:lang w:eastAsia="it-IT"/>
        </w:rPr>
        <w:t>LVI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3, 2003, pp. 366-68 (ISSN 0391-2108).</w:t>
      </w:r>
    </w:p>
    <w:p w:rsidR="006220DE" w:rsidRDefault="00E56F8D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7.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Sandro Melani,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Lontani altrove. Configurazioni del mondo in Ruth Prawer Jhabvala, Kazuo Ishiguro e Bruce Chatwin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Viterbo, Sette Città, 2002”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Rivista di Letterature moderne e comparate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817CC3" w:rsidRPr="00450768">
        <w:rPr>
          <w:rFonts w:ascii="Garamond" w:hAnsi="Garamond"/>
          <w:sz w:val="24"/>
          <w:szCs w:val="24"/>
        </w:rPr>
        <w:t xml:space="preserve">n. s., </w:t>
      </w:r>
      <w:r w:rsidR="00817CC3">
        <w:rPr>
          <w:rFonts w:ascii="Garamond" w:eastAsia="Times New Roman" w:hAnsi="Garamond" w:cs="Times New Roman"/>
          <w:sz w:val="24"/>
          <w:szCs w:val="24"/>
          <w:lang w:eastAsia="it-IT"/>
        </w:rPr>
        <w:t>LVII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3, 2004, pp. 391-93</w:t>
      </w:r>
      <w:r w:rsidR="004D390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(ISSN 03912108).</w:t>
      </w:r>
    </w:p>
    <w:p w:rsidR="006220DE" w:rsidRDefault="00E56F8D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8.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Silvia Bigliazzi, </w:t>
      </w:r>
      <w:r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Nel prisma del nulla. L’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esperienza del non-essere nella drammaturgia shakespeariana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‘Critica e letteratura’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Napoli, Liguori, 2005”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Rivista di Letterature moderne e comparate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817CC3" w:rsidRPr="00450768">
        <w:rPr>
          <w:rFonts w:ascii="Garamond" w:hAnsi="Garamond"/>
          <w:sz w:val="24"/>
          <w:szCs w:val="24"/>
        </w:rPr>
        <w:t xml:space="preserve">n. s., </w:t>
      </w:r>
      <w:r w:rsidR="00817CC3">
        <w:rPr>
          <w:rFonts w:ascii="Garamond" w:eastAsia="Times New Roman" w:hAnsi="Garamond" w:cs="Times New Roman"/>
          <w:sz w:val="24"/>
          <w:szCs w:val="24"/>
          <w:lang w:eastAsia="it-IT"/>
        </w:rPr>
        <w:t>LX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3, 2007, pp. 383-84 (ISSN 03912108).</w:t>
      </w:r>
    </w:p>
    <w:p w:rsidR="006220DE" w:rsidRDefault="00E56F8D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9.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Piero Boitani,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Il Vangelo secondo Shakespeare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, Bologna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il Mulino, 2009”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Rivista di Letterature moderne e comparate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817CC3" w:rsidRPr="00450768">
        <w:rPr>
          <w:rFonts w:ascii="Garamond" w:hAnsi="Garamond"/>
          <w:sz w:val="24"/>
          <w:szCs w:val="24"/>
        </w:rPr>
        <w:t xml:space="preserve">n. s., 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LXIII, 4, 2010, pp. 450-53 (ISSN 03912108).</w:t>
      </w:r>
    </w:p>
    <w:p w:rsidR="006220DE" w:rsidRDefault="00E56F8D" w:rsidP="006220DE">
      <w:pPr>
        <w:autoSpaceDE w:val="0"/>
        <w:autoSpaceDN w:val="0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10. “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Stefano Manferlotti,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Shakespeare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Roma, Salerno editrice, 2010”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Critica letteraria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XXXIX, 3, 2011, pp. 607-10 </w:t>
      </w:r>
      <w:r w:rsidR="00285C2E" w:rsidRPr="00285C2E"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  <w:t>(ISSN 0390-0142).</w:t>
      </w:r>
    </w:p>
    <w:p w:rsidR="006220DE" w:rsidRDefault="00E56F8D" w:rsidP="006220DE">
      <w:pPr>
        <w:spacing w:after="120" w:line="240" w:lineRule="auto"/>
        <w:ind w:firstLine="397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 xml:space="preserve">11. “Rossella Ciocca e Carmela Maria 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Laudando (a cura di),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Indiascapes. Images and Words from Globalised India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Anglistica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, 2008”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285C2E" w:rsidRPr="00285C2E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Rivista di Letterature moderne e comparate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817CC3" w:rsidRPr="00450768">
        <w:rPr>
          <w:rFonts w:ascii="Garamond" w:hAnsi="Garamond"/>
          <w:sz w:val="24"/>
          <w:szCs w:val="24"/>
        </w:rPr>
        <w:t xml:space="preserve">n. s., </w:t>
      </w:r>
      <w:r w:rsidR="00285C2E" w:rsidRPr="00285C2E">
        <w:rPr>
          <w:rFonts w:ascii="Garamond" w:eastAsia="Times New Roman" w:hAnsi="Garamond" w:cs="Times New Roman"/>
          <w:sz w:val="24"/>
          <w:szCs w:val="24"/>
          <w:lang w:eastAsia="it-IT"/>
        </w:rPr>
        <w:t>LXIV, 1, 2011, pp. 90-93 (ISSN 03912108).</w:t>
      </w:r>
    </w:p>
    <w:p w:rsidR="00450768" w:rsidRPr="006220DE" w:rsidRDefault="00450768" w:rsidP="006220DE">
      <w:pPr>
        <w:spacing w:after="120" w:line="240" w:lineRule="auto"/>
        <w:ind w:firstLine="397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50768">
        <w:rPr>
          <w:rFonts w:ascii="Garamond" w:hAnsi="Garamond"/>
          <w:sz w:val="24"/>
          <w:szCs w:val="24"/>
        </w:rPr>
        <w:t xml:space="preserve">12. </w:t>
      </w:r>
      <w:r w:rsidR="00634162">
        <w:rPr>
          <w:rFonts w:ascii="Garamond" w:hAnsi="Garamond"/>
          <w:sz w:val="24"/>
          <w:szCs w:val="24"/>
        </w:rPr>
        <w:t>“</w:t>
      </w:r>
      <w:r w:rsidR="00756457">
        <w:rPr>
          <w:rFonts w:ascii="Garamond" w:hAnsi="Garamond"/>
          <w:sz w:val="24"/>
          <w:szCs w:val="24"/>
        </w:rPr>
        <w:t>Valerio Viviani</w:t>
      </w:r>
      <w:r w:rsidR="00F965E4">
        <w:rPr>
          <w:rFonts w:ascii="Garamond" w:hAnsi="Garamond"/>
          <w:sz w:val="24"/>
          <w:szCs w:val="24"/>
        </w:rPr>
        <w:t xml:space="preserve">, </w:t>
      </w:r>
      <w:r w:rsidR="00F965E4" w:rsidRPr="00F965E4">
        <w:rPr>
          <w:rFonts w:ascii="Garamond" w:hAnsi="Garamond"/>
          <w:i/>
          <w:sz w:val="24"/>
          <w:szCs w:val="24"/>
        </w:rPr>
        <w:t>Graham Swift</w:t>
      </w:r>
      <w:r w:rsidR="00F965E4">
        <w:rPr>
          <w:rFonts w:ascii="Garamond" w:hAnsi="Garamond"/>
          <w:sz w:val="24"/>
          <w:szCs w:val="24"/>
        </w:rPr>
        <w:t>, Firenze, Le Lettere, 2010</w:t>
      </w:r>
      <w:r w:rsidR="00634162">
        <w:rPr>
          <w:rFonts w:ascii="Garamond" w:hAnsi="Garamond"/>
          <w:sz w:val="24"/>
          <w:szCs w:val="24"/>
        </w:rPr>
        <w:t xml:space="preserve">”, </w:t>
      </w:r>
      <w:r w:rsidRPr="00634162">
        <w:rPr>
          <w:rFonts w:ascii="Garamond" w:hAnsi="Garamond"/>
          <w:i/>
          <w:sz w:val="24"/>
          <w:szCs w:val="24"/>
        </w:rPr>
        <w:t xml:space="preserve">Rivista </w:t>
      </w:r>
      <w:r w:rsidRPr="00450768">
        <w:rPr>
          <w:rFonts w:ascii="Garamond" w:hAnsi="Garamond"/>
          <w:i/>
          <w:sz w:val="24"/>
          <w:szCs w:val="24"/>
        </w:rPr>
        <w:t>di Letterature moderne e comparate</w:t>
      </w:r>
      <w:r w:rsidR="00E56F8D">
        <w:rPr>
          <w:rFonts w:ascii="Garamond" w:hAnsi="Garamond"/>
          <w:sz w:val="24"/>
          <w:szCs w:val="24"/>
        </w:rPr>
        <w:t>,</w:t>
      </w:r>
      <w:r w:rsidRPr="00450768">
        <w:rPr>
          <w:rFonts w:ascii="Garamond" w:hAnsi="Garamond"/>
          <w:sz w:val="24"/>
          <w:szCs w:val="24"/>
        </w:rPr>
        <w:t xml:space="preserve"> </w:t>
      </w:r>
      <w:r w:rsidR="00817CC3">
        <w:rPr>
          <w:rFonts w:ascii="Garamond" w:hAnsi="Garamond"/>
          <w:sz w:val="24"/>
          <w:szCs w:val="24"/>
        </w:rPr>
        <w:t xml:space="preserve">n. s. </w:t>
      </w:r>
      <w:r w:rsidRPr="00450768">
        <w:rPr>
          <w:rFonts w:ascii="Garamond" w:hAnsi="Garamond"/>
          <w:sz w:val="24"/>
          <w:szCs w:val="24"/>
        </w:rPr>
        <w:t>(ISSN 03912108).</w:t>
      </w:r>
    </w:p>
    <w:p w:rsidR="006220DE" w:rsidRDefault="00450768" w:rsidP="006220DE">
      <w:pPr>
        <w:autoSpaceDE w:val="0"/>
        <w:autoSpaceDN w:val="0"/>
        <w:adjustRightInd w:val="0"/>
        <w:spacing w:after="120" w:line="240" w:lineRule="auto"/>
        <w:ind w:firstLine="397"/>
        <w:jc w:val="both"/>
        <w:rPr>
          <w:rFonts w:ascii="Garamond" w:hAnsi="Garamond"/>
          <w:sz w:val="24"/>
          <w:szCs w:val="24"/>
        </w:rPr>
      </w:pPr>
      <w:r w:rsidRPr="00450768">
        <w:rPr>
          <w:rFonts w:ascii="Garamond" w:hAnsi="Garamond"/>
          <w:sz w:val="24"/>
          <w:szCs w:val="24"/>
        </w:rPr>
        <w:t xml:space="preserve">13. </w:t>
      </w:r>
      <w:r w:rsidR="00DD64B5">
        <w:rPr>
          <w:rFonts w:ascii="Garamond" w:hAnsi="Garamond"/>
          <w:sz w:val="24"/>
          <w:szCs w:val="24"/>
        </w:rPr>
        <w:t xml:space="preserve">“Nuccio Ordine, </w:t>
      </w:r>
      <w:r w:rsidRPr="00450768">
        <w:rPr>
          <w:rFonts w:ascii="Garamond" w:hAnsi="Garamond"/>
          <w:i/>
          <w:sz w:val="24"/>
          <w:szCs w:val="24"/>
        </w:rPr>
        <w:t>L’utilità dell’inutile. Manifesto</w:t>
      </w:r>
      <w:r w:rsidRPr="00450768">
        <w:rPr>
          <w:rFonts w:ascii="Garamond" w:hAnsi="Garamond"/>
          <w:sz w:val="24"/>
          <w:szCs w:val="24"/>
        </w:rPr>
        <w:t xml:space="preserve">”, Milano, Bompiani, 2013, </w:t>
      </w:r>
      <w:r w:rsidRPr="00450768">
        <w:rPr>
          <w:rFonts w:ascii="Garamond" w:hAnsi="Garamond"/>
          <w:i/>
          <w:sz w:val="24"/>
          <w:szCs w:val="24"/>
        </w:rPr>
        <w:t>Rivista di Letterature moderne e comparate</w:t>
      </w:r>
      <w:r w:rsidRPr="00450768">
        <w:rPr>
          <w:rFonts w:ascii="Garamond" w:hAnsi="Garamond"/>
          <w:sz w:val="24"/>
          <w:szCs w:val="24"/>
        </w:rPr>
        <w:t>, n. s., LXVII, 2, 2015, pp. 204-05 (ISSN 03912108).</w:t>
      </w:r>
    </w:p>
    <w:p w:rsidR="00285C2E" w:rsidRPr="00285C2E" w:rsidRDefault="00285C2E" w:rsidP="00285C2E">
      <w:pPr>
        <w:spacing w:before="120" w:after="120" w:line="240" w:lineRule="auto"/>
        <w:ind w:left="180" w:right="180" w:firstLine="40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C2E" w:rsidRPr="00285C2E" w:rsidRDefault="00450768" w:rsidP="00285C2E">
      <w:pPr>
        <w:spacing w:line="240" w:lineRule="auto"/>
        <w:ind w:left="180" w:right="180" w:firstLine="40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napToGrid w:val="0"/>
          <w:color w:val="808080"/>
          <w:sz w:val="15"/>
          <w:szCs w:val="15"/>
          <w:lang w:eastAsia="it-IT"/>
        </w:rPr>
        <w:t>Aggiornamento: gennaio 2018</w:t>
      </w:r>
    </w:p>
    <w:p w:rsidR="00285C2E" w:rsidRPr="00285C2E" w:rsidRDefault="005761C5" w:rsidP="00285C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.75pt" o:hralign="center" o:hrstd="t" o:hr="t" fillcolor="#a0a0a0" stroked="f"/>
        </w:pict>
      </w:r>
    </w:p>
    <w:p w:rsidR="00DA3DC5" w:rsidRDefault="00DA3DC5"/>
    <w:sectPr w:rsidR="00DA3DC5" w:rsidSect="00840F09"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2E"/>
    <w:rsid w:val="00285C2E"/>
    <w:rsid w:val="002C20A7"/>
    <w:rsid w:val="00450768"/>
    <w:rsid w:val="004627D8"/>
    <w:rsid w:val="00485C27"/>
    <w:rsid w:val="004D390E"/>
    <w:rsid w:val="00514E8C"/>
    <w:rsid w:val="005761C5"/>
    <w:rsid w:val="005C7EB5"/>
    <w:rsid w:val="006102FE"/>
    <w:rsid w:val="006220DE"/>
    <w:rsid w:val="00634162"/>
    <w:rsid w:val="006469BE"/>
    <w:rsid w:val="00692165"/>
    <w:rsid w:val="00756457"/>
    <w:rsid w:val="00817CC3"/>
    <w:rsid w:val="00830D20"/>
    <w:rsid w:val="00840F09"/>
    <w:rsid w:val="00850EE1"/>
    <w:rsid w:val="008B2F2A"/>
    <w:rsid w:val="00956B78"/>
    <w:rsid w:val="00AA0F25"/>
    <w:rsid w:val="00B369D0"/>
    <w:rsid w:val="00C16555"/>
    <w:rsid w:val="00D57BCC"/>
    <w:rsid w:val="00D9749F"/>
    <w:rsid w:val="00DA3DC5"/>
    <w:rsid w:val="00DD64B5"/>
    <w:rsid w:val="00E56F8D"/>
    <w:rsid w:val="00F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oducttext">
    <w:name w:val="producttext"/>
    <w:basedOn w:val="Carpredefinitoparagrafo"/>
    <w:rsid w:val="00285C2E"/>
  </w:style>
  <w:style w:type="character" w:customStyle="1" w:styleId="st">
    <w:name w:val="st"/>
    <w:basedOn w:val="Carpredefinitoparagrafo"/>
    <w:rsid w:val="00285C2E"/>
  </w:style>
  <w:style w:type="character" w:customStyle="1" w:styleId="notizia">
    <w:name w:val="notizia"/>
    <w:basedOn w:val="Carpredefinitoparagrafo"/>
    <w:rsid w:val="00285C2E"/>
  </w:style>
  <w:style w:type="paragraph" w:styleId="NormaleWeb">
    <w:name w:val="Normal (Web)"/>
    <w:basedOn w:val="Normale"/>
    <w:uiPriority w:val="99"/>
    <w:semiHidden/>
    <w:unhideWhenUsed/>
    <w:rsid w:val="0028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16555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D39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oducttext">
    <w:name w:val="producttext"/>
    <w:basedOn w:val="Carpredefinitoparagrafo"/>
    <w:rsid w:val="00285C2E"/>
  </w:style>
  <w:style w:type="character" w:customStyle="1" w:styleId="st">
    <w:name w:val="st"/>
    <w:basedOn w:val="Carpredefinitoparagrafo"/>
    <w:rsid w:val="00285C2E"/>
  </w:style>
  <w:style w:type="character" w:customStyle="1" w:styleId="notizia">
    <w:name w:val="notizia"/>
    <w:basedOn w:val="Carpredefinitoparagrafo"/>
    <w:rsid w:val="00285C2E"/>
  </w:style>
  <w:style w:type="paragraph" w:styleId="NormaleWeb">
    <w:name w:val="Normal (Web)"/>
    <w:basedOn w:val="Normale"/>
    <w:uiPriority w:val="99"/>
    <w:semiHidden/>
    <w:unhideWhenUsed/>
    <w:rsid w:val="0028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16555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D3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CDG</cp:lastModifiedBy>
  <cp:revision>6</cp:revision>
  <cp:lastPrinted>2018-01-21T20:43:00Z</cp:lastPrinted>
  <dcterms:created xsi:type="dcterms:W3CDTF">2018-01-21T20:31:00Z</dcterms:created>
  <dcterms:modified xsi:type="dcterms:W3CDTF">2018-01-21T20:58:00Z</dcterms:modified>
</cp:coreProperties>
</file>